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B" w:rsidRDefault="007B6C3B"/>
    <w:p w:rsidR="00916F2B" w:rsidRDefault="00916F2B"/>
    <w:p w:rsidR="00916F2B" w:rsidRDefault="00916F2B"/>
    <w:p w:rsidR="00916F2B" w:rsidRDefault="00916F2B" w:rsidP="0091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              </w:t>
      </w:r>
      <w:r w:rsidR="00110672">
        <w:rPr>
          <w:rFonts w:ascii="Times New Roman" w:hAnsi="Times New Roman" w:cs="Times New Roman"/>
          <w:b/>
          <w:bCs/>
          <w:sz w:val="29"/>
          <w:szCs w:val="29"/>
        </w:rPr>
        <w:tab/>
      </w:r>
      <w:r w:rsidR="00110672"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="00BB4C00">
        <w:rPr>
          <w:rFonts w:ascii="Times New Roman" w:hAnsi="Times New Roman" w:cs="Times New Roman"/>
          <w:b/>
          <w:bCs/>
          <w:sz w:val="29"/>
          <w:szCs w:val="29"/>
        </w:rPr>
        <w:t xml:space="preserve">       </w:t>
      </w:r>
      <w:r>
        <w:rPr>
          <w:rFonts w:ascii="Times New Roman" w:hAnsi="Times New Roman" w:cs="Times New Roman"/>
          <w:b/>
          <w:bCs/>
          <w:sz w:val="29"/>
          <w:szCs w:val="29"/>
        </w:rPr>
        <w:t>St</w:t>
      </w:r>
      <w:r>
        <w:rPr>
          <w:rFonts w:ascii="TimesNewRomanPS-BoldMT" w:eastAsia="TimesNewRomanPS-BoldMT" w:hAnsi="Times New Roman" w:cs="TimesNewRomanPS-BoldMT" w:hint="eastAsia"/>
          <w:b/>
          <w:bCs/>
          <w:sz w:val="29"/>
          <w:szCs w:val="29"/>
        </w:rPr>
        <w:t>ř</w:t>
      </w:r>
      <w:r>
        <w:rPr>
          <w:rFonts w:ascii="Times New Roman" w:hAnsi="Times New Roman" w:cs="Times New Roman"/>
          <w:b/>
          <w:bCs/>
          <w:sz w:val="29"/>
          <w:szCs w:val="29"/>
        </w:rPr>
        <w:t>edn</w:t>
      </w:r>
      <w:r>
        <w:rPr>
          <w:rFonts w:ascii="TimesNewRomanPS-BoldMT" w:eastAsia="TimesNewRomanPS-BoldMT" w:hAnsi="Times New Roman" w:cs="TimesNewRomanPS-BoldMT" w:hint="eastAsia"/>
          <w:b/>
          <w:bCs/>
          <w:sz w:val="29"/>
          <w:szCs w:val="29"/>
        </w:rPr>
        <w:t>ě</w:t>
      </w:r>
      <w:r>
        <w:rPr>
          <w:rFonts w:ascii="Times New Roman" w:hAnsi="Times New Roman" w:cs="Times New Roman"/>
          <w:b/>
          <w:bCs/>
          <w:sz w:val="29"/>
          <w:szCs w:val="29"/>
        </w:rPr>
        <w:t>dobý výhled rozpo</w:t>
      </w:r>
      <w:r>
        <w:rPr>
          <w:rFonts w:ascii="TimesNewRomanPS-BoldMT" w:eastAsia="TimesNewRomanPS-BoldMT" w:hAnsi="Times New Roman" w:cs="TimesNewRomanPS-BoldMT" w:hint="eastAsia"/>
          <w:b/>
          <w:bCs/>
          <w:sz w:val="29"/>
          <w:szCs w:val="29"/>
        </w:rPr>
        <w:t>č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tu </w:t>
      </w:r>
    </w:p>
    <w:p w:rsidR="00916F2B" w:rsidRDefault="00916F2B" w:rsidP="0011067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tis. K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č</w:t>
      </w:r>
    </w:p>
    <w:p w:rsidR="00916F2B" w:rsidRDefault="00916F2B" w:rsidP="00916F2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eastAsia="TimesNewRomanPSMT" w:hAnsi="Times New Roman" w:cs="TimesNewRomanPSMT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4820"/>
        <w:gridCol w:w="1134"/>
        <w:gridCol w:w="1134"/>
        <w:gridCol w:w="1100"/>
        <w:gridCol w:w="34"/>
        <w:gridCol w:w="236"/>
      </w:tblGrid>
      <w:tr w:rsidR="00110672" w:rsidRPr="00916F2B" w:rsidTr="006D7B1E">
        <w:trPr>
          <w:gridAfter w:val="2"/>
          <w:wAfter w:w="270" w:type="dxa"/>
        </w:trPr>
        <w:tc>
          <w:tcPr>
            <w:tcW w:w="4820" w:type="dxa"/>
          </w:tcPr>
          <w:p w:rsidR="00110672" w:rsidRPr="00916F2B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</w:tc>
        <w:tc>
          <w:tcPr>
            <w:tcW w:w="3368" w:type="dxa"/>
            <w:gridSpan w:val="3"/>
          </w:tcPr>
          <w:p w:rsidR="00110672" w:rsidRPr="00916F2B" w:rsidRDefault="00BB4C0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 xml:space="preserve">             </w:t>
            </w:r>
            <w:r w:rsidR="007D1F62">
              <w:rPr>
                <w:rFonts w:ascii="TimesNewRomanPSMT" w:eastAsia="TimesNewRomanPSMT" w:hAnsi="Times New Roman" w:cs="TimesNewRomanPSMT"/>
                <w:sz w:val="24"/>
                <w:szCs w:val="24"/>
              </w:rPr>
              <w:t xml:space="preserve">        V</w:t>
            </w:r>
            <w:r w:rsidR="007D1F62">
              <w:rPr>
                <w:rFonts w:ascii="TimesNewRomanPSMT" w:eastAsia="TimesNewRomanPSMT" w:hAnsi="Times New Roman" w:cs="TimesNewRomanPSMT"/>
                <w:sz w:val="24"/>
                <w:szCs w:val="24"/>
              </w:rPr>
              <w:t>Ý</w:t>
            </w:r>
            <w:r w:rsidR="007D1F62">
              <w:rPr>
                <w:rFonts w:ascii="TimesNewRomanPSMT" w:eastAsia="TimesNewRomanPSMT" w:hAnsi="Times New Roman" w:cs="TimesNewRomanPSMT"/>
                <w:sz w:val="24"/>
                <w:szCs w:val="24"/>
              </w:rPr>
              <w:t>HLED</w:t>
            </w:r>
          </w:p>
          <w:p w:rsidR="00110672" w:rsidRPr="00916F2B" w:rsidRDefault="00110672" w:rsidP="00110672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 xml:space="preserve">      </w:t>
            </w:r>
          </w:p>
        </w:tc>
      </w:tr>
      <w:tr w:rsidR="00110672" w:rsidRPr="00916F2B" w:rsidTr="006D7B1E">
        <w:tc>
          <w:tcPr>
            <w:tcW w:w="4820" w:type="dxa"/>
          </w:tcPr>
          <w:p w:rsidR="00110672" w:rsidRPr="00916F2B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672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201</w:t>
            </w:r>
            <w:r w:rsidR="00BB4C00">
              <w:rPr>
                <w:rFonts w:ascii="TimesNewRomanPSMT" w:eastAsia="TimesNewRomanPSMT" w:hAnsi="Times New Roman" w:cs="TimesNewRomanPSMT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10672" w:rsidRDefault="00110672" w:rsidP="00BB4C00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201</w:t>
            </w:r>
            <w:r w:rsidR="00BB4C00">
              <w:rPr>
                <w:rFonts w:ascii="TimesNewRomanPSMT" w:eastAsia="TimesNewRomanPSMT" w:hAnsi="Times New Roman" w:cs="TimesNewRomanPSMT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110672" w:rsidRPr="00916F2B" w:rsidRDefault="00110672" w:rsidP="00BB4C00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20</w:t>
            </w:r>
            <w:r w:rsidR="00BB4C00">
              <w:rPr>
                <w:rFonts w:ascii="TimesNewRomanPSMT" w:eastAsia="TimesNewRomanPSMT" w:hAnsi="Times New Roman" w:cs="TimesNewRomanPSMT"/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:rsidR="00110672" w:rsidRPr="00916F2B" w:rsidRDefault="00110672" w:rsidP="00BB4C00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</w:tc>
      </w:tr>
      <w:tr w:rsidR="00110672" w:rsidRPr="00916F2B" w:rsidTr="006D7B1E">
        <w:tc>
          <w:tcPr>
            <w:tcW w:w="4820" w:type="dxa"/>
          </w:tcPr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T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ída 1 Da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ové p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íjmy 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T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ída 2 Neda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ové p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íjmy 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T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ída 3 Kapitálové p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íjmy 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T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ída 4 P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ijaté dotace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-BoldMT" w:hAnsi="Times New Roman" w:cs="TimesNewRomanPS-BoldMT"/>
                <w:b/>
                <w:bCs/>
                <w:sz w:val="24"/>
                <w:szCs w:val="24"/>
              </w:rPr>
              <w:t>P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íjmy po konsolidaci celkem 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T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ída 5 B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žné výdaje 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T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ída 6 Kapitálové výdaje 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Výdaje po konsolidaci celkem </w:t>
            </w:r>
          </w:p>
          <w:p w:rsidR="00110672" w:rsidRPr="007D1F6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672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1500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18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200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1718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1526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1526</w:t>
            </w:r>
          </w:p>
        </w:tc>
        <w:tc>
          <w:tcPr>
            <w:tcW w:w="1134" w:type="dxa"/>
          </w:tcPr>
          <w:p w:rsidR="00110672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1500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18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1678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1600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1600</w:t>
            </w:r>
          </w:p>
        </w:tc>
        <w:tc>
          <w:tcPr>
            <w:tcW w:w="1134" w:type="dxa"/>
            <w:gridSpan w:val="2"/>
          </w:tcPr>
          <w:p w:rsidR="00110672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1500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19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1679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1600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1600</w:t>
            </w:r>
          </w:p>
        </w:tc>
        <w:tc>
          <w:tcPr>
            <w:tcW w:w="236" w:type="dxa"/>
          </w:tcPr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</w:tc>
      </w:tr>
      <w:tr w:rsidR="00A62FE0" w:rsidRPr="00916F2B" w:rsidTr="006D7B1E">
        <w:tc>
          <w:tcPr>
            <w:tcW w:w="4820" w:type="dxa"/>
          </w:tcPr>
          <w:p w:rsidR="00A62FE0" w:rsidRDefault="00A62FE0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</w:tc>
      </w:tr>
    </w:tbl>
    <w:p w:rsidR="00916F2B" w:rsidRDefault="00916F2B" w:rsidP="00916F2B"/>
    <w:p w:rsidR="00110672" w:rsidRDefault="00110672" w:rsidP="00916F2B"/>
    <w:p w:rsidR="00110672" w:rsidRDefault="00110672" w:rsidP="0011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šeno dne </w:t>
      </w:r>
      <w:r w:rsidR="00B37D8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04760">
        <w:rPr>
          <w:rFonts w:ascii="Times New Roman" w:hAnsi="Times New Roman" w:cs="Times New Roman"/>
          <w:sz w:val="24"/>
          <w:szCs w:val="24"/>
        </w:rPr>
        <w:t>18.3.2017</w:t>
      </w:r>
      <w:proofErr w:type="gramEnd"/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šeno na elektronické ú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ední desce dne </w:t>
      </w:r>
      <w:r w:rsidR="00B37D88">
        <w:rPr>
          <w:rFonts w:ascii="Times New Roman" w:hAnsi="Times New Roman" w:cs="Times New Roman"/>
          <w:sz w:val="24"/>
          <w:szCs w:val="24"/>
        </w:rPr>
        <w:t xml:space="preserve">: </w:t>
      </w:r>
      <w:r w:rsidR="00E04760">
        <w:rPr>
          <w:rFonts w:ascii="Times New Roman" w:hAnsi="Times New Roman" w:cs="Times New Roman"/>
          <w:sz w:val="24"/>
          <w:szCs w:val="24"/>
        </w:rPr>
        <w:t>18.3.2017</w:t>
      </w:r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r w:rsidR="00B37D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0672" w:rsidRDefault="00110672" w:rsidP="00110672">
      <w:r>
        <w:rPr>
          <w:rFonts w:ascii="Times New Roman" w:hAnsi="Times New Roman" w:cs="Times New Roman"/>
          <w:sz w:val="24"/>
          <w:szCs w:val="24"/>
        </w:rPr>
        <w:t>Sejmuto z elektronické ú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ední desky dne</w:t>
      </w:r>
      <w:r w:rsidR="00B37D88">
        <w:rPr>
          <w:rFonts w:ascii="Times New Roman" w:hAnsi="Times New Roman" w:cs="Times New Roman"/>
          <w:sz w:val="24"/>
          <w:szCs w:val="24"/>
        </w:rPr>
        <w:t xml:space="preserve"> :</w:t>
      </w:r>
    </w:p>
    <w:sectPr w:rsidR="00110672" w:rsidSect="007B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6F2B"/>
    <w:rsid w:val="000535FF"/>
    <w:rsid w:val="000A24CB"/>
    <w:rsid w:val="00110672"/>
    <w:rsid w:val="001B1597"/>
    <w:rsid w:val="002C4DBF"/>
    <w:rsid w:val="00342B1E"/>
    <w:rsid w:val="006D7B1E"/>
    <w:rsid w:val="007B6C3B"/>
    <w:rsid w:val="007D1F62"/>
    <w:rsid w:val="00916F2B"/>
    <w:rsid w:val="00A62FE0"/>
    <w:rsid w:val="00B37D88"/>
    <w:rsid w:val="00BB4C00"/>
    <w:rsid w:val="00BB7269"/>
    <w:rsid w:val="00C62F04"/>
    <w:rsid w:val="00E0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C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916F2B"/>
    <w:pPr>
      <w:tabs>
        <w:tab w:val="decimal" w:pos="360"/>
      </w:tabs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916F2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16F2B"/>
    <w:rPr>
      <w:rFonts w:eastAsiaTheme="minorEastAsia"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916F2B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table" w:styleId="Stednstnovn2zvraznn5">
    <w:name w:val="Medium Shading 2 Accent 5"/>
    <w:basedOn w:val="Normlntabulka"/>
    <w:uiPriority w:val="64"/>
    <w:rsid w:val="00916F2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59"/>
    <w:rsid w:val="00916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B37D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HP</cp:lastModifiedBy>
  <cp:revision>2</cp:revision>
  <dcterms:created xsi:type="dcterms:W3CDTF">2018-04-18T10:12:00Z</dcterms:created>
  <dcterms:modified xsi:type="dcterms:W3CDTF">2018-04-18T10:12:00Z</dcterms:modified>
</cp:coreProperties>
</file>